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A45" w:rsidRPr="00E82E53" w:rsidRDefault="00F65FBF" w:rsidP="00C80A45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FF0000"/>
          <w:szCs w:val="24"/>
          <w:lang w:eastAsia="en-US"/>
        </w:rPr>
      </w:pP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   </w:t>
      </w:r>
      <w:r w:rsidR="00CC152B"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</w:t>
      </w: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</w:t>
      </w:r>
    </w:p>
    <w:p w:rsidR="008831A1" w:rsidRPr="00847D6A" w:rsidRDefault="008831A1" w:rsidP="008831A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1636A1" w:rsidRPr="000C0842" w:rsidRDefault="001636A1" w:rsidP="001636A1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7</w:t>
      </w:r>
    </w:p>
    <w:p w:rsidR="001636A1" w:rsidRDefault="001636A1" w:rsidP="001636A1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1636A1" w:rsidRDefault="001636A1" w:rsidP="008831A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8831A1" w:rsidRPr="00847D6A" w:rsidRDefault="008831A1" w:rsidP="008831A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8831A1" w:rsidRPr="00847D6A" w:rsidRDefault="008831A1" w:rsidP="008831A1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8831A1" w:rsidRPr="00847D6A" w:rsidRDefault="006E5CE8" w:rsidP="008831A1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8831A1">
        <w:rPr>
          <w:rFonts w:ascii="Times New Roman" w:hAnsi="Times New Roman"/>
          <w:color w:val="auto"/>
          <w:sz w:val="28"/>
          <w:szCs w:val="28"/>
        </w:rPr>
        <w:t>Монитор пациента прикроватный</w:t>
      </w:r>
      <w:r w:rsidRPr="00847D6A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брахитерапевтическому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аппарату для пациентов, страдающих раком предстательной железы</w:t>
      </w:r>
      <w:bookmarkStart w:id="0" w:name="_GoBack"/>
      <w:bookmarkEnd w:id="0"/>
    </w:p>
    <w:p w:rsidR="00DE737B" w:rsidRPr="00814285" w:rsidRDefault="00DE737B" w:rsidP="00F47B08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94"/>
        <w:gridCol w:w="6662"/>
        <w:gridCol w:w="1700"/>
      </w:tblGrid>
      <w:tr w:rsidR="003F2E8B" w:rsidRPr="009A5FB6" w:rsidTr="00FE2A8E">
        <w:trPr>
          <w:jc w:val="center"/>
        </w:trPr>
        <w:tc>
          <w:tcPr>
            <w:tcW w:w="994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62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1.1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8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Монитор пациента с разъемами/модулями для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 xml:space="preserve">мониторирования ЭКГ, ЧСС, НИАД, </w:t>
            </w:r>
            <w:proofErr w:type="spellStart"/>
            <w:r>
              <w:rPr>
                <w:color w:val="000000"/>
                <w:sz w:val="28"/>
                <w:lang w:eastAsia="ru-RU" w:bidi="ru-RU"/>
              </w:rPr>
              <w:t>п</w:t>
            </w:r>
            <w:r w:rsidRPr="00FE2A8E">
              <w:rPr>
                <w:color w:val="000000"/>
                <w:sz w:val="28"/>
                <w:lang w:eastAsia="ru-RU" w:bidi="ru-RU"/>
              </w:rPr>
              <w:t>ульсоксиметрии</w:t>
            </w:r>
            <w:proofErr w:type="spellEnd"/>
            <w:r w:rsidRPr="00FE2A8E">
              <w:rPr>
                <w:color w:val="000000"/>
                <w:sz w:val="28"/>
                <w:lang w:eastAsia="ru-RU" w:bidi="ru-RU"/>
              </w:rPr>
              <w:t>, дыхания, температуры, инвазивного</w:t>
            </w:r>
            <w:r>
              <w:rPr>
                <w:color w:val="000000"/>
                <w:sz w:val="28"/>
                <w:lang w:eastAsia="ru-RU" w:bidi="ru-RU"/>
              </w:rPr>
              <w:t xml:space="preserve"> </w:t>
            </w:r>
            <w:r w:rsidRPr="00FE2A8E">
              <w:rPr>
                <w:color w:val="000000"/>
                <w:sz w:val="28"/>
                <w:lang w:eastAsia="ru-RU" w:bidi="ru-RU"/>
              </w:rPr>
              <w:t>давления (2 канала)</w:t>
            </w:r>
          </w:p>
        </w:tc>
        <w:tc>
          <w:tcPr>
            <w:tcW w:w="1700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 комплект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1.2</w:t>
            </w:r>
          </w:p>
        </w:tc>
        <w:tc>
          <w:tcPr>
            <w:tcW w:w="6662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Батарея аккумуляторная встроенная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1.3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31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Кабель ЭКГ на 5 электродов для взрослых длиной не</w:t>
            </w:r>
            <w:r>
              <w:rPr>
                <w:color w:val="000000"/>
                <w:sz w:val="28"/>
                <w:lang w:eastAsia="ru-RU" w:bidi="ru-RU"/>
              </w:rPr>
              <w:t xml:space="preserve"> </w:t>
            </w:r>
            <w:r w:rsidRPr="00FE2A8E">
              <w:rPr>
                <w:color w:val="000000"/>
                <w:sz w:val="28"/>
                <w:lang w:eastAsia="ru-RU" w:bidi="ru-RU"/>
              </w:rPr>
              <w:t>менее 2,5 м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2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 w:right="320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1.4</w:t>
            </w:r>
          </w:p>
        </w:tc>
        <w:tc>
          <w:tcPr>
            <w:tcW w:w="6662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Электроды ЭКГ одноразовые клеящиеся для взрослых</w:t>
            </w:r>
          </w:p>
        </w:tc>
        <w:tc>
          <w:tcPr>
            <w:tcW w:w="1700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 w:right="300"/>
              <w:rPr>
                <w:b/>
                <w:sz w:val="28"/>
              </w:rPr>
            </w:pPr>
            <w:r w:rsidRPr="00FE2A8E">
              <w:rPr>
                <w:rStyle w:val="22"/>
                <w:b w:val="0"/>
              </w:rPr>
              <w:t>100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1.5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31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 xml:space="preserve">Многоразовый пальцевой </w:t>
            </w:r>
            <w:proofErr w:type="spellStart"/>
            <w:r w:rsidRPr="00FE2A8E">
              <w:rPr>
                <w:color w:val="000000"/>
                <w:sz w:val="28"/>
                <w:lang w:eastAsia="ru-RU" w:bidi="ru-RU"/>
              </w:rPr>
              <w:t>пульсоксиметрический</w:t>
            </w:r>
            <w:proofErr w:type="spellEnd"/>
            <w:r w:rsidRPr="00FE2A8E">
              <w:rPr>
                <w:color w:val="000000"/>
                <w:sz w:val="28"/>
                <w:lang w:eastAsia="ru-RU" w:bidi="ru-RU"/>
              </w:rPr>
              <w:br/>
              <w:t>датчик для взрослых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2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1.6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8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 xml:space="preserve">Удлинительный кабель для датчиков </w:t>
            </w:r>
            <w:proofErr w:type="spellStart"/>
            <w:r w:rsidRPr="00FE2A8E">
              <w:rPr>
                <w:color w:val="000000"/>
                <w:sz w:val="28"/>
                <w:lang w:eastAsia="ru-RU" w:bidi="ru-RU"/>
              </w:rPr>
              <w:t>пульсоксиметрии</w:t>
            </w:r>
            <w:proofErr w:type="spellEnd"/>
            <w:r>
              <w:rPr>
                <w:color w:val="000000"/>
                <w:sz w:val="28"/>
                <w:lang w:eastAsia="ru-RU" w:bidi="ru-RU"/>
              </w:rPr>
              <w:t xml:space="preserve"> </w:t>
            </w:r>
            <w:r w:rsidRPr="00FE2A8E">
              <w:rPr>
                <w:color w:val="000000"/>
                <w:sz w:val="28"/>
                <w:lang w:eastAsia="ru-RU" w:bidi="ru-RU"/>
              </w:rPr>
              <w:t>длиной не менее 2,5 м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1.7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4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Шланг удлинительный для манжет НИАД длиной не</w:t>
            </w:r>
            <w:r>
              <w:rPr>
                <w:color w:val="000000"/>
                <w:sz w:val="28"/>
                <w:lang w:eastAsia="ru-RU" w:bidi="ru-RU"/>
              </w:rPr>
              <w:t xml:space="preserve"> </w:t>
            </w:r>
            <w:r w:rsidRPr="00FE2A8E">
              <w:rPr>
                <w:color w:val="000000"/>
                <w:sz w:val="28"/>
                <w:lang w:eastAsia="ru-RU" w:bidi="ru-RU"/>
              </w:rPr>
              <w:t>менее 2,5 м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1.8</w:t>
            </w:r>
          </w:p>
        </w:tc>
        <w:tc>
          <w:tcPr>
            <w:tcW w:w="6662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4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 xml:space="preserve">Набор многоразовых манжет НИАД 3-х размеров: </w:t>
            </w:r>
            <w:r w:rsidRPr="00FE2A8E">
              <w:rPr>
                <w:color w:val="000000"/>
                <w:sz w:val="28"/>
                <w:lang w:bidi="en-US"/>
              </w:rPr>
              <w:br/>
            </w:r>
            <w:r w:rsidRPr="00FE2A8E">
              <w:rPr>
                <w:color w:val="000000"/>
                <w:sz w:val="28"/>
                <w:lang w:eastAsia="ru-RU" w:bidi="ru-RU"/>
              </w:rPr>
              <w:t>малая взрослая, взрослая, большая взрослая</w:t>
            </w:r>
          </w:p>
        </w:tc>
        <w:tc>
          <w:tcPr>
            <w:tcW w:w="1700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8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по 3 шт.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>каждого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>размера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1.9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8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Датчик температурный многоразовый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>внутриполостной для взрослых</w:t>
            </w:r>
          </w:p>
        </w:tc>
        <w:tc>
          <w:tcPr>
            <w:tcW w:w="1700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 шт.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1.10</w:t>
            </w:r>
          </w:p>
        </w:tc>
        <w:tc>
          <w:tcPr>
            <w:tcW w:w="6662" w:type="dxa"/>
            <w:vAlign w:val="bottom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324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Комплект мониторинга инвазивного давления на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 xml:space="preserve">одноразовых </w:t>
            </w:r>
            <w:proofErr w:type="spellStart"/>
            <w:r w:rsidRPr="00FE2A8E">
              <w:rPr>
                <w:color w:val="000000"/>
                <w:sz w:val="28"/>
                <w:lang w:eastAsia="ru-RU" w:bidi="ru-RU"/>
              </w:rPr>
              <w:t>тра</w:t>
            </w:r>
            <w:r>
              <w:rPr>
                <w:color w:val="000000"/>
                <w:sz w:val="28"/>
                <w:lang w:eastAsia="ru-RU" w:bidi="ru-RU"/>
              </w:rPr>
              <w:t>нсдьюсерах</w:t>
            </w:r>
            <w:proofErr w:type="spellEnd"/>
            <w:r w:rsidRPr="00FE2A8E">
              <w:rPr>
                <w:color w:val="000000"/>
                <w:sz w:val="28"/>
                <w:lang w:eastAsia="ru-RU" w:bidi="ru-RU"/>
              </w:rPr>
              <w:t>, включая все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>необходимые кабели и крепежные элементы для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 xml:space="preserve">подключения и фиксации 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 w:right="300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2 комплекта</w:t>
            </w:r>
          </w:p>
        </w:tc>
      </w:tr>
      <w:tr w:rsidR="00FE2A8E" w:rsidRPr="009A5FB6" w:rsidTr="00FE2A8E">
        <w:trPr>
          <w:jc w:val="center"/>
        </w:trPr>
        <w:tc>
          <w:tcPr>
            <w:tcW w:w="994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>1.11</w:t>
            </w:r>
          </w:p>
        </w:tc>
        <w:tc>
          <w:tcPr>
            <w:tcW w:w="6662" w:type="dxa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99" w:lineRule="exact"/>
              <w:ind w:left="35"/>
              <w:rPr>
                <w:sz w:val="28"/>
              </w:rPr>
            </w:pPr>
            <w:r w:rsidRPr="00FE2A8E">
              <w:rPr>
                <w:color w:val="000000"/>
                <w:sz w:val="28"/>
                <w:lang w:eastAsia="ru-RU" w:bidi="ru-RU"/>
              </w:rPr>
              <w:t xml:space="preserve">Одноразовые </w:t>
            </w:r>
            <w:proofErr w:type="spellStart"/>
            <w:r w:rsidRPr="00FE2A8E">
              <w:rPr>
                <w:color w:val="000000"/>
                <w:sz w:val="28"/>
                <w:lang w:eastAsia="ru-RU" w:bidi="ru-RU"/>
              </w:rPr>
              <w:t>трансд</w:t>
            </w:r>
            <w:r>
              <w:rPr>
                <w:color w:val="000000"/>
                <w:sz w:val="28"/>
                <w:lang w:eastAsia="ru-RU" w:bidi="ru-RU"/>
              </w:rPr>
              <w:t>ьюсеры</w:t>
            </w:r>
            <w:proofErr w:type="spellEnd"/>
            <w:r w:rsidRPr="00FE2A8E">
              <w:rPr>
                <w:color w:val="000000"/>
                <w:sz w:val="28"/>
                <w:lang w:eastAsia="ru-RU" w:bidi="ru-RU"/>
              </w:rPr>
              <w:t xml:space="preserve"> для измерения</w:t>
            </w:r>
            <w:r w:rsidRPr="00FE2A8E">
              <w:rPr>
                <w:color w:val="000000"/>
                <w:sz w:val="28"/>
                <w:lang w:eastAsia="ru-RU" w:bidi="ru-RU"/>
              </w:rPr>
              <w:br/>
              <w:t>инвазивного давления 1</w:t>
            </w:r>
          </w:p>
        </w:tc>
        <w:tc>
          <w:tcPr>
            <w:tcW w:w="1700" w:type="dxa"/>
            <w:vAlign w:val="center"/>
          </w:tcPr>
          <w:p w:rsidR="00FE2A8E" w:rsidRPr="00FE2A8E" w:rsidRDefault="00FE2A8E" w:rsidP="00FE2A8E">
            <w:pPr>
              <w:pStyle w:val="21"/>
              <w:shd w:val="clear" w:color="auto" w:fill="auto"/>
              <w:spacing w:line="280" w:lineRule="exact"/>
              <w:ind w:left="35"/>
              <w:rPr>
                <w:b/>
                <w:sz w:val="28"/>
              </w:rPr>
            </w:pPr>
            <w:r w:rsidRPr="00FE2A8E">
              <w:rPr>
                <w:rStyle w:val="22"/>
                <w:b w:val="0"/>
              </w:rPr>
              <w:t>100 шт.</w:t>
            </w:r>
          </w:p>
        </w:tc>
      </w:tr>
    </w:tbl>
    <w:p w:rsidR="009A5FB6" w:rsidRDefault="009A5FB6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586372" w:rsidRDefault="00586372" w:rsidP="00586372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 Технические требования.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Общие требования.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предназначен для слежения за основными параметрами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жизнедеятельности пациентов. Измеряемые/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мониторируемые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| параметры: ЭКГ,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ЧСС, Sp02, НИАД, частота дыхания, инвазивное давление, температура.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 должен иметь модульную конфигурацию р использованием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принципа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мультипараметрического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основного модуля и дополнительных модулей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или моноблочный тип с набором конфигурируемых функций согласно составу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оборудования.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Русифицированное меню и сообщения на экране.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Архив эпизодов аритмий (с указанием типа аритмии из имеющегося ряда -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не менее 10 вариантов): эпизоды аритмии (длина файла не менее 10 с); объем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сохраняемых данных: не менее 72 ч.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2.1.5.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Графические и табличные тренды всех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мониторируемых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параметров за не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менее чем 72 часа с различным интервалом просмотра. Функция трендовой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памяти должна включать возможность отображения цифровых и графических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трендов.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|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2.1.6.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Разрешение трендов: не более 1 мин для 1-, 2 -часовых трендов; не более 5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мин для 24 -часовых трендов; не более 15 мин для 72-часовых трендов.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2.1.7.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Не менее 24 часов записи волновых форм в режиме полного просмотра.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2.1.8.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Встроенная аккумуляторная батарея должна обеспечивать гарантированный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ресурс работы не менее 60 минут, заряд батареи должен осуществляться при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включении монитора в сеть.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2.1.9.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Сетевой интерфейс по протоколу TCP/IP с использованием соединения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стандарта RJ-45.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2.2.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Дисплей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2.2.1.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Тип дисплея: цветной. Диагональ дисплея: не менее 14 дюймов.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2.2.2.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Количество отображаемых кривых: не менее 6-ти.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2.2.3.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Остановка развертки кривых: функция замораживания кривых.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2.2.4.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Наличие следующих режимов мониторинга: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стандартный экран мониторинга с возможностью выбора не менее 3-х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конфигураций расположения данных;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экран больших цифр: увеличенное отображение цифровых параметров для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лучшего восприятия данных на расстоянии;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просмотр графических и табличных трендов;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просмотр эпизодов аритмий и тревог.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2.3.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Тревоги</w:t>
      </w:r>
    </w:p>
    <w:p w:rsidR="003D3D32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2.3.1.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Иерархическая система звуковых, визуальных и текстовых сообщений о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тревогах по всем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мониторируемым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параметрам. Должны быть предусмотрены три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уровня тревожных сообщений с различной цветовой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индикацией: критическое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состояние, предостережение об опасности, внимание.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2.3.2.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Меню настройки тревог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мониторируемых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параметров должно отображать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верхнюю и нижнюю допустимую границу параметра, а так же его текущее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значение.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2.3.3.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Возможность подавления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звукового сигнала тревоги. 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2.3.4.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Наличие сигнальной лампы с цветовой кодировкой для индикации тревоги 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случае ее срабатывания при выключенном звуке.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2.4.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ЭКГ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Мониторирование ЭКГ в стандартных и усиленных отведениях (I, II, </w:t>
      </w:r>
      <w:r>
        <w:rPr>
          <w:rFonts w:ascii="Times New Roman" w:eastAsia="Calibri" w:hAnsi="Times New Roman"/>
          <w:color w:val="auto"/>
          <w:sz w:val="28"/>
          <w:szCs w:val="28"/>
          <w:lang w:val="en-US" w:eastAsia="en-US"/>
        </w:rPr>
        <w:t>III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aVF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aVL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aVR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).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Определение не менее 10 видов аритмий.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Наличие не менее двух различных диапазонов фильтра полосы пропускания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ЭКГ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2.4.4.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Анализ сегмента ST во всех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мониторируемых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отведениях. Настройка точки измерения ST сегмента и изоэлектрической точки.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2.5.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Частота сердечных сокращений (ЧСС)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2.5.1.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Возможность выбора источника цифрового отображения ЧСС (ЭКГ, Sp02, автоматический выбор).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2.5.2.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Диапазон измерения ЧСС в пределах не уже 30 - 250 </w:t>
      </w:r>
      <w:proofErr w:type="gram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уд./</w:t>
      </w:r>
      <w:proofErr w:type="gram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мин., погрешность измерения не более ±2 уд./ми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н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2.6.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Дыхание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2.6.1.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Метод измерения -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импедансная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пневмография,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2.6.2.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Цифровое отображение ЧД и волновая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респирограмма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2.6.3.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Диапазон измерения: не уже 6-50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вд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./мин. Погрешность измерения не более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± 2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вд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./мин.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2.7.Пульсоксиметрия (SpО2)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2.7.1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*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Наличие одной из двух технологий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пульсоксиметрии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 доказанной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эффективностью точного измерения в условиях низкой перфузии: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OxiMax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Nellcor</w:t>
      </w:r>
      <w:proofErr w:type="spellEnd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или SET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Masimo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* Многоразовые пальцевые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пульсоксиметрические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датчики должны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поддерживать предлагаемую технологию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пульсоксиметрии</w:t>
      </w:r>
      <w:proofErr w:type="spellEnd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Цифровое отображение SpO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 разрешением 1%, отображение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плетизмограммы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Синхрозвук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Sp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О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2:переменный тон, при изменении значения</w:t>
      </w:r>
      <w:r w:rsidRPr="00FE2A8E"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SpO2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2.7.5.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Заявленный диапазон измерения не уже 50-100 %.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2.7.6.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Погрешность измерения не более ±2 % в диапазоне 70-100%,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2.8.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Неинвазивное измерение артериального давления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2.8.1.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Измерение неинвазивного артериального давления осциллометрическим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методом - систолического, диастолического, среднего. 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2.8.2.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Цифровое отображение с разрешением 1 мм рт. ст.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2.8.3.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Диапазон измерения: не уже 40-240 мм рт. ст. Погрешность измерения не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более ±3 мм </w:t>
      </w:r>
      <w:proofErr w:type="spellStart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рт.ст</w:t>
      </w:r>
      <w:proofErr w:type="spellEnd"/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2.8.4.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Режимы измерения неинвазивного давления: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по требованию (ручной);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автоматический (через заданный промежуток времени на выбор от 1 до 120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мин);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-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статический (не более 5 мин).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2.8.5.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Мониторинг с выводом на дисплей времени измерения давления, текущего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давления манжеты и границ тревоги.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2.8.6.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Наличие системы безопасности от перекачки манжеты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2.9.Инвазивное давление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2.9.1.Цифровое отображение ИАД: систолического, диастолического, среднего.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Отображение кривой ИАД.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2.9.2.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Диапазон измерения не уже 0-250 мм рт. ст. Погрешность измерения не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более ±1 мм рт. ст. Разрешение шкалы дисплея: 1 мм рт. ст.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2.9.3.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Выбор диапазона шкалы измерения инвазивного давления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2.9.4.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>Отображение даты и времени калибровки канала.</w:t>
      </w: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2.10.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ab/>
        <w:t>Температура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2.10.1.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Измерение температуры (цифровое отображение),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0,1°С. Диапазон отображения температуры: не уже 15-45 °С.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2.10.2.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Погрешность измерения в диапазоне 25-45°С не более±0,1 °С.</w:t>
      </w: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Примечание: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Символ * указывает на обязательное наличие данного требования.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Отсутствие указанного требования является основанием для отклонения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предложения.</w:t>
      </w: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3. Требования, предъявляемые к гарантийному сроку (годности,</w:t>
      </w:r>
      <w:r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стерильности) и (или) объему предоставления гарантий качества товара,</w:t>
      </w:r>
    </w:p>
    <w:p w:rsidR="00FE2A8E" w:rsidRP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обслуживанию товара, расходам на эксплуатацию товара:</w:t>
      </w:r>
    </w:p>
    <w:p w:rsidR="00FE2A8E" w:rsidRDefault="00FE2A8E" w:rsidP="00FE2A8E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3.1.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Гарантийный срок не менее 24 месяцев с момента ввода оборудования в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эксплуатацию, включая техническое обслуживание и ремонт без дополнительных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FE2A8E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платежей.</w:t>
      </w: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E2A8E" w:rsidRDefault="00FE2A8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65FBF" w:rsidRDefault="00F65FBF" w:rsidP="008831A1">
      <w:pPr>
        <w:spacing w:before="0" w:after="0"/>
        <w:ind w:left="0" w:firstLine="0"/>
        <w:jc w:val="right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4"/>
  </w:num>
  <w:num w:numId="4">
    <w:abstractNumId w:val="14"/>
  </w:num>
  <w:num w:numId="5">
    <w:abstractNumId w:val="8"/>
  </w:num>
  <w:num w:numId="6">
    <w:abstractNumId w:val="17"/>
  </w:num>
  <w:num w:numId="7">
    <w:abstractNumId w:val="10"/>
  </w:num>
  <w:num w:numId="8">
    <w:abstractNumId w:val="13"/>
  </w:num>
  <w:num w:numId="9">
    <w:abstractNumId w:val="1"/>
  </w:num>
  <w:num w:numId="10">
    <w:abstractNumId w:val="6"/>
  </w:num>
  <w:num w:numId="11">
    <w:abstractNumId w:val="26"/>
  </w:num>
  <w:num w:numId="12">
    <w:abstractNumId w:val="0"/>
  </w:num>
  <w:num w:numId="13">
    <w:abstractNumId w:val="5"/>
  </w:num>
  <w:num w:numId="14">
    <w:abstractNumId w:val="19"/>
  </w:num>
  <w:num w:numId="15">
    <w:abstractNumId w:val="2"/>
  </w:num>
  <w:num w:numId="16">
    <w:abstractNumId w:val="15"/>
  </w:num>
  <w:num w:numId="17">
    <w:abstractNumId w:val="25"/>
  </w:num>
  <w:num w:numId="18">
    <w:abstractNumId w:val="23"/>
  </w:num>
  <w:num w:numId="19">
    <w:abstractNumId w:val="11"/>
  </w:num>
  <w:num w:numId="20">
    <w:abstractNumId w:val="7"/>
  </w:num>
  <w:num w:numId="21">
    <w:abstractNumId w:val="3"/>
  </w:num>
  <w:num w:numId="22">
    <w:abstractNumId w:val="18"/>
  </w:num>
  <w:num w:numId="23">
    <w:abstractNumId w:val="20"/>
  </w:num>
  <w:num w:numId="24">
    <w:abstractNumId w:val="16"/>
  </w:num>
  <w:num w:numId="25">
    <w:abstractNumId w:val="24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6097"/>
    <w:rsid w:val="00030BD0"/>
    <w:rsid w:val="00043120"/>
    <w:rsid w:val="00055619"/>
    <w:rsid w:val="00064587"/>
    <w:rsid w:val="00092159"/>
    <w:rsid w:val="00095A58"/>
    <w:rsid w:val="000A7596"/>
    <w:rsid w:val="000B67B0"/>
    <w:rsid w:val="000C544C"/>
    <w:rsid w:val="000D2B65"/>
    <w:rsid w:val="000F54C9"/>
    <w:rsid w:val="0010251B"/>
    <w:rsid w:val="00102AFF"/>
    <w:rsid w:val="00113C38"/>
    <w:rsid w:val="00142949"/>
    <w:rsid w:val="00143850"/>
    <w:rsid w:val="001501C2"/>
    <w:rsid w:val="001636A1"/>
    <w:rsid w:val="001706EF"/>
    <w:rsid w:val="001721E2"/>
    <w:rsid w:val="00186BDA"/>
    <w:rsid w:val="001D5B9F"/>
    <w:rsid w:val="001E582B"/>
    <w:rsid w:val="001F7FB7"/>
    <w:rsid w:val="00203D26"/>
    <w:rsid w:val="0020588F"/>
    <w:rsid w:val="00222269"/>
    <w:rsid w:val="0022380C"/>
    <w:rsid w:val="002271EF"/>
    <w:rsid w:val="00240E49"/>
    <w:rsid w:val="00256A38"/>
    <w:rsid w:val="00262C39"/>
    <w:rsid w:val="00263892"/>
    <w:rsid w:val="00276DDB"/>
    <w:rsid w:val="00294E89"/>
    <w:rsid w:val="002B536C"/>
    <w:rsid w:val="00320AC6"/>
    <w:rsid w:val="003435E5"/>
    <w:rsid w:val="0035402F"/>
    <w:rsid w:val="0037479D"/>
    <w:rsid w:val="003A4E47"/>
    <w:rsid w:val="003D1E67"/>
    <w:rsid w:val="003D2244"/>
    <w:rsid w:val="003D3D32"/>
    <w:rsid w:val="003F2E8B"/>
    <w:rsid w:val="003F4582"/>
    <w:rsid w:val="00422A6E"/>
    <w:rsid w:val="00427000"/>
    <w:rsid w:val="004408F2"/>
    <w:rsid w:val="00484FE5"/>
    <w:rsid w:val="00485597"/>
    <w:rsid w:val="004915A1"/>
    <w:rsid w:val="004B0FCE"/>
    <w:rsid w:val="004B3076"/>
    <w:rsid w:val="004C3E64"/>
    <w:rsid w:val="004C7CF2"/>
    <w:rsid w:val="004D0695"/>
    <w:rsid w:val="004D60D0"/>
    <w:rsid w:val="005055ED"/>
    <w:rsid w:val="005506DD"/>
    <w:rsid w:val="00556DE3"/>
    <w:rsid w:val="005648F6"/>
    <w:rsid w:val="00572E70"/>
    <w:rsid w:val="00580172"/>
    <w:rsid w:val="00580C2D"/>
    <w:rsid w:val="00586372"/>
    <w:rsid w:val="005A1252"/>
    <w:rsid w:val="005B594A"/>
    <w:rsid w:val="005C0A28"/>
    <w:rsid w:val="005C24E9"/>
    <w:rsid w:val="005D42D8"/>
    <w:rsid w:val="005E1504"/>
    <w:rsid w:val="005E2928"/>
    <w:rsid w:val="005F5B6A"/>
    <w:rsid w:val="00607E9B"/>
    <w:rsid w:val="00624699"/>
    <w:rsid w:val="0063160F"/>
    <w:rsid w:val="00632B66"/>
    <w:rsid w:val="00641619"/>
    <w:rsid w:val="006839E2"/>
    <w:rsid w:val="006B453D"/>
    <w:rsid w:val="006C2E5D"/>
    <w:rsid w:val="006E0450"/>
    <w:rsid w:val="006E5CE8"/>
    <w:rsid w:val="00700A48"/>
    <w:rsid w:val="00700ABC"/>
    <w:rsid w:val="007042A0"/>
    <w:rsid w:val="00705819"/>
    <w:rsid w:val="00713541"/>
    <w:rsid w:val="00724873"/>
    <w:rsid w:val="00727F83"/>
    <w:rsid w:val="007532CA"/>
    <w:rsid w:val="00756286"/>
    <w:rsid w:val="0076412A"/>
    <w:rsid w:val="00776806"/>
    <w:rsid w:val="00787AB8"/>
    <w:rsid w:val="007A0FD2"/>
    <w:rsid w:val="007B1551"/>
    <w:rsid w:val="007B2C52"/>
    <w:rsid w:val="007B4CA8"/>
    <w:rsid w:val="007B596B"/>
    <w:rsid w:val="007B7D95"/>
    <w:rsid w:val="007C031B"/>
    <w:rsid w:val="007D56A5"/>
    <w:rsid w:val="007D7106"/>
    <w:rsid w:val="007E5F92"/>
    <w:rsid w:val="007F4AF9"/>
    <w:rsid w:val="00801834"/>
    <w:rsid w:val="00805A50"/>
    <w:rsid w:val="00814285"/>
    <w:rsid w:val="00816995"/>
    <w:rsid w:val="00834C66"/>
    <w:rsid w:val="008367FD"/>
    <w:rsid w:val="00846E18"/>
    <w:rsid w:val="00851D2B"/>
    <w:rsid w:val="00864319"/>
    <w:rsid w:val="008653AD"/>
    <w:rsid w:val="00877869"/>
    <w:rsid w:val="008831A1"/>
    <w:rsid w:val="008833ED"/>
    <w:rsid w:val="00884FB6"/>
    <w:rsid w:val="00897B98"/>
    <w:rsid w:val="008A08EF"/>
    <w:rsid w:val="008C1DD4"/>
    <w:rsid w:val="008C5DB7"/>
    <w:rsid w:val="008E07D9"/>
    <w:rsid w:val="008F5832"/>
    <w:rsid w:val="009252DE"/>
    <w:rsid w:val="0092701F"/>
    <w:rsid w:val="0093244E"/>
    <w:rsid w:val="00947D55"/>
    <w:rsid w:val="00953DCA"/>
    <w:rsid w:val="0097687B"/>
    <w:rsid w:val="009810EE"/>
    <w:rsid w:val="00990115"/>
    <w:rsid w:val="0099682E"/>
    <w:rsid w:val="009A374D"/>
    <w:rsid w:val="009A4017"/>
    <w:rsid w:val="009A5FB6"/>
    <w:rsid w:val="009B2101"/>
    <w:rsid w:val="009B5735"/>
    <w:rsid w:val="009C205B"/>
    <w:rsid w:val="009C42CD"/>
    <w:rsid w:val="009C5352"/>
    <w:rsid w:val="009E6A92"/>
    <w:rsid w:val="009E7790"/>
    <w:rsid w:val="009F01CD"/>
    <w:rsid w:val="009F066D"/>
    <w:rsid w:val="009F2474"/>
    <w:rsid w:val="00A0649C"/>
    <w:rsid w:val="00A12017"/>
    <w:rsid w:val="00A3437C"/>
    <w:rsid w:val="00A43D1C"/>
    <w:rsid w:val="00A45316"/>
    <w:rsid w:val="00A50971"/>
    <w:rsid w:val="00A72298"/>
    <w:rsid w:val="00A8751E"/>
    <w:rsid w:val="00A92629"/>
    <w:rsid w:val="00AA1312"/>
    <w:rsid w:val="00AB163D"/>
    <w:rsid w:val="00AC775C"/>
    <w:rsid w:val="00AF5853"/>
    <w:rsid w:val="00B02E2D"/>
    <w:rsid w:val="00B41D97"/>
    <w:rsid w:val="00B63663"/>
    <w:rsid w:val="00BA1A6D"/>
    <w:rsid w:val="00BB43FD"/>
    <w:rsid w:val="00BC28C6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A27CA"/>
    <w:rsid w:val="00CA56F2"/>
    <w:rsid w:val="00CC0EAF"/>
    <w:rsid w:val="00CC152B"/>
    <w:rsid w:val="00CC2558"/>
    <w:rsid w:val="00CE1885"/>
    <w:rsid w:val="00CE6BE7"/>
    <w:rsid w:val="00CE7479"/>
    <w:rsid w:val="00D47AC5"/>
    <w:rsid w:val="00D512CA"/>
    <w:rsid w:val="00D54697"/>
    <w:rsid w:val="00D87E75"/>
    <w:rsid w:val="00D90A96"/>
    <w:rsid w:val="00D944C3"/>
    <w:rsid w:val="00DA0EAD"/>
    <w:rsid w:val="00DB28EF"/>
    <w:rsid w:val="00DC64DB"/>
    <w:rsid w:val="00DD3A5B"/>
    <w:rsid w:val="00DD6695"/>
    <w:rsid w:val="00DE737B"/>
    <w:rsid w:val="00DF24A3"/>
    <w:rsid w:val="00E02EDC"/>
    <w:rsid w:val="00E24A30"/>
    <w:rsid w:val="00E31A43"/>
    <w:rsid w:val="00E402A8"/>
    <w:rsid w:val="00E41424"/>
    <w:rsid w:val="00E414AB"/>
    <w:rsid w:val="00E547E3"/>
    <w:rsid w:val="00E5588F"/>
    <w:rsid w:val="00E76EF9"/>
    <w:rsid w:val="00E82E53"/>
    <w:rsid w:val="00E935AF"/>
    <w:rsid w:val="00EA2D1D"/>
    <w:rsid w:val="00EB0852"/>
    <w:rsid w:val="00EB4545"/>
    <w:rsid w:val="00EB742A"/>
    <w:rsid w:val="00EF2236"/>
    <w:rsid w:val="00F04E6E"/>
    <w:rsid w:val="00F116FC"/>
    <w:rsid w:val="00F47B08"/>
    <w:rsid w:val="00F65FBF"/>
    <w:rsid w:val="00F773FF"/>
    <w:rsid w:val="00FB48F1"/>
    <w:rsid w:val="00FD0522"/>
    <w:rsid w:val="00FE2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F0064-C586-40C5-BEFC-645E6AB7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619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paragraph" w:styleId="23">
    <w:name w:val="Body Text Indent 2"/>
    <w:basedOn w:val="a"/>
    <w:link w:val="24"/>
    <w:rsid w:val="00E41424"/>
    <w:pPr>
      <w:spacing w:before="0" w:after="0"/>
      <w:ind w:left="207" w:firstLine="0"/>
      <w:jc w:val="both"/>
    </w:pPr>
    <w:rPr>
      <w:rFonts w:ascii="Times New Roman" w:hAnsi="Times New Roman"/>
      <w:color w:val="auto"/>
      <w:szCs w:val="24"/>
    </w:rPr>
  </w:style>
  <w:style w:type="character" w:customStyle="1" w:styleId="24">
    <w:name w:val="Основной текст с отступом 2 Знак"/>
    <w:basedOn w:val="a0"/>
    <w:link w:val="23"/>
    <w:rsid w:val="00E41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pt1pt">
    <w:name w:val="Основной текст (2) + 7 pt;Курсив;Интервал 1 pt"/>
    <w:basedOn w:val="20"/>
    <w:rsid w:val="00FE2A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styleId="ac">
    <w:name w:val="Hyperlink"/>
    <w:basedOn w:val="a0"/>
    <w:rsid w:val="00883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89443-09E6-41C2-8801-13BE6D69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Диана Гурьева</cp:lastModifiedBy>
  <cp:revision>4</cp:revision>
  <cp:lastPrinted>2019-10-23T07:03:00Z</cp:lastPrinted>
  <dcterms:created xsi:type="dcterms:W3CDTF">2020-06-19T11:06:00Z</dcterms:created>
  <dcterms:modified xsi:type="dcterms:W3CDTF">2020-06-19T11:29:00Z</dcterms:modified>
</cp:coreProperties>
</file>